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B7" w:rsidRPr="00DA3E7A" w:rsidRDefault="004716B7" w:rsidP="004716B7">
      <w:pPr>
        <w:pStyle w:val="Overskrift1"/>
        <w:rPr>
          <w:rFonts w:ascii="Verdana" w:hAnsi="Verdana"/>
          <w:sz w:val="18"/>
          <w:szCs w:val="18"/>
        </w:rPr>
      </w:pPr>
      <w:bookmarkStart w:id="0" w:name="_Toc440373406"/>
      <w:r w:rsidRPr="00DA3E7A">
        <w:rPr>
          <w:rFonts w:ascii="Verdana" w:hAnsi="Verdana"/>
          <w:sz w:val="18"/>
          <w:szCs w:val="18"/>
        </w:rPr>
        <w:t>Bilag 6 - Sygefravær</w:t>
      </w:r>
      <w:bookmarkEnd w:id="0"/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Parterne ønsker fokus på sygefravær og ønsker at nedbringe sygefraværet og sikre medarbejderens tilknytning til arbejdspladsen.</w:t>
      </w:r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 xml:space="preserve">Årsagerne til sygefravær er ofte meget komplekse og kan tit relateres til forhold både på arbejdspladsen og </w:t>
      </w:r>
      <w:proofErr w:type="gramStart"/>
      <w:r w:rsidRPr="00DA3E7A">
        <w:rPr>
          <w:rFonts w:ascii="Verdana" w:hAnsi="Verdana"/>
          <w:sz w:val="18"/>
          <w:szCs w:val="18"/>
        </w:rPr>
        <w:t>udenfor</w:t>
      </w:r>
      <w:proofErr w:type="gramEnd"/>
      <w:r w:rsidRPr="00DA3E7A">
        <w:rPr>
          <w:rFonts w:ascii="Verdana" w:hAnsi="Verdana"/>
          <w:sz w:val="18"/>
          <w:szCs w:val="18"/>
        </w:rPr>
        <w:t xml:space="preserve"> arbejdspladsen. Det er derfor vigtigt, at man får kortlagt mulige årsager til sygefravær, og ud fra denne kortlægning forsøger at nedbringe sygefraværet.</w:t>
      </w:r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Parterne understreger i den forbindelse behovet for dialog mellem den sygemeldte og lægepraksis om situationen på såvel kort som på langt sigt.</w:t>
      </w:r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</w:p>
    <w:p w:rsidR="004716B7" w:rsidRPr="00DA3E7A" w:rsidRDefault="004716B7" w:rsidP="004716B7">
      <w:pPr>
        <w:rPr>
          <w:rFonts w:ascii="Verdana" w:hAnsi="Verdana"/>
          <w:b/>
          <w:sz w:val="18"/>
          <w:szCs w:val="18"/>
        </w:rPr>
      </w:pPr>
      <w:r w:rsidRPr="00DA3E7A">
        <w:rPr>
          <w:rFonts w:ascii="Verdana" w:hAnsi="Verdana"/>
          <w:b/>
          <w:sz w:val="18"/>
          <w:szCs w:val="18"/>
        </w:rPr>
        <w:t>Målet er:</w:t>
      </w:r>
    </w:p>
    <w:p w:rsidR="004716B7" w:rsidRPr="00DA3E7A" w:rsidRDefault="004716B7" w:rsidP="004716B7">
      <w:pPr>
        <w:numPr>
          <w:ilvl w:val="0"/>
          <w:numId w:val="2"/>
        </w:numPr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At mindske sygefraværet</w:t>
      </w:r>
      <w:r w:rsidRPr="00DA3E7A">
        <w:rPr>
          <w:rFonts w:ascii="Verdana" w:hAnsi="Verdana"/>
          <w:sz w:val="18"/>
          <w:szCs w:val="18"/>
        </w:rPr>
        <w:br/>
      </w:r>
    </w:p>
    <w:p w:rsidR="004716B7" w:rsidRPr="00DA3E7A" w:rsidRDefault="004716B7" w:rsidP="004716B7">
      <w:pPr>
        <w:numPr>
          <w:ilvl w:val="0"/>
          <w:numId w:val="2"/>
        </w:numPr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At følge op på sygefravær</w:t>
      </w:r>
      <w:r w:rsidRPr="00DA3E7A">
        <w:rPr>
          <w:rFonts w:ascii="Verdana" w:hAnsi="Verdana"/>
          <w:sz w:val="18"/>
          <w:szCs w:val="18"/>
        </w:rPr>
        <w:br/>
      </w:r>
    </w:p>
    <w:p w:rsidR="004716B7" w:rsidRPr="00DA3E7A" w:rsidRDefault="004716B7" w:rsidP="004716B7">
      <w:pPr>
        <w:numPr>
          <w:ilvl w:val="0"/>
          <w:numId w:val="2"/>
        </w:numPr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At opretholde medarbejderens tilknytning til virksomheden</w:t>
      </w:r>
      <w:r w:rsidRPr="00DA3E7A">
        <w:rPr>
          <w:rFonts w:ascii="Verdana" w:hAnsi="Verdana"/>
          <w:sz w:val="18"/>
          <w:szCs w:val="18"/>
        </w:rPr>
        <w:br/>
      </w:r>
    </w:p>
    <w:p w:rsidR="004716B7" w:rsidRPr="00DA3E7A" w:rsidRDefault="004716B7" w:rsidP="004716B7">
      <w:pPr>
        <w:numPr>
          <w:ilvl w:val="0"/>
          <w:numId w:val="2"/>
        </w:numPr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At få fokus på mulighederne for nedbringelse af sygefravær</w:t>
      </w:r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</w:p>
    <w:p w:rsidR="004716B7" w:rsidRPr="00DA3E7A" w:rsidRDefault="004716B7" w:rsidP="004716B7">
      <w:pPr>
        <w:rPr>
          <w:rFonts w:ascii="Verdana" w:hAnsi="Verdana"/>
          <w:b/>
          <w:sz w:val="18"/>
          <w:szCs w:val="18"/>
        </w:rPr>
      </w:pPr>
      <w:r w:rsidRPr="00DA3E7A">
        <w:rPr>
          <w:rFonts w:ascii="Verdana" w:hAnsi="Verdana"/>
          <w:b/>
          <w:sz w:val="18"/>
          <w:szCs w:val="18"/>
        </w:rPr>
        <w:t xml:space="preserve">Konkrete redskaber kunne være: </w:t>
      </w:r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</w:p>
    <w:p w:rsidR="004716B7" w:rsidRPr="00DA3E7A" w:rsidRDefault="004716B7" w:rsidP="004716B7">
      <w:pPr>
        <w:numPr>
          <w:ilvl w:val="1"/>
          <w:numId w:val="1"/>
        </w:numPr>
        <w:tabs>
          <w:tab w:val="clear" w:pos="1636"/>
          <w:tab w:val="num" w:pos="700"/>
        </w:tabs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Procedure for sygemelding</w:t>
      </w:r>
      <w:r w:rsidRPr="00DA3E7A">
        <w:rPr>
          <w:rFonts w:ascii="Verdana" w:hAnsi="Verdana"/>
          <w:sz w:val="18"/>
          <w:szCs w:val="18"/>
        </w:rPr>
        <w:br/>
        <w:t xml:space="preserve"> </w:t>
      </w:r>
    </w:p>
    <w:p w:rsidR="004716B7" w:rsidRPr="00DA3E7A" w:rsidRDefault="004716B7" w:rsidP="004716B7">
      <w:pPr>
        <w:numPr>
          <w:ilvl w:val="1"/>
          <w:numId w:val="1"/>
        </w:numPr>
        <w:tabs>
          <w:tab w:val="clear" w:pos="1636"/>
          <w:tab w:val="num" w:pos="700"/>
        </w:tabs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 xml:space="preserve">Analyse af fraværsårsager </w:t>
      </w:r>
      <w:r w:rsidRPr="00DA3E7A">
        <w:rPr>
          <w:rFonts w:ascii="Verdana" w:hAnsi="Verdana"/>
          <w:sz w:val="18"/>
          <w:szCs w:val="18"/>
        </w:rPr>
        <w:br/>
      </w:r>
    </w:p>
    <w:p w:rsidR="004716B7" w:rsidRPr="00DA3E7A" w:rsidRDefault="004716B7" w:rsidP="004716B7">
      <w:pPr>
        <w:numPr>
          <w:ilvl w:val="1"/>
          <w:numId w:val="1"/>
        </w:numPr>
        <w:tabs>
          <w:tab w:val="clear" w:pos="1636"/>
          <w:tab w:val="num" w:pos="700"/>
        </w:tabs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Sygefraværssamtaler</w:t>
      </w:r>
      <w:r w:rsidRPr="00DA3E7A">
        <w:rPr>
          <w:rFonts w:ascii="Verdana" w:hAnsi="Verdana"/>
          <w:sz w:val="18"/>
          <w:szCs w:val="18"/>
        </w:rPr>
        <w:br/>
        <w:t xml:space="preserve"> </w:t>
      </w:r>
    </w:p>
    <w:p w:rsidR="004716B7" w:rsidRPr="00DA3E7A" w:rsidRDefault="004716B7" w:rsidP="004716B7">
      <w:pPr>
        <w:numPr>
          <w:ilvl w:val="1"/>
          <w:numId w:val="1"/>
        </w:numPr>
        <w:tabs>
          <w:tab w:val="clear" w:pos="1636"/>
          <w:tab w:val="num" w:pos="700"/>
        </w:tabs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 xml:space="preserve">Rundbordssamtaler, </w:t>
      </w:r>
      <w:r w:rsidRPr="00DA3E7A">
        <w:rPr>
          <w:rFonts w:ascii="Verdana" w:hAnsi="Verdana"/>
          <w:sz w:val="18"/>
          <w:szCs w:val="18"/>
        </w:rPr>
        <w:br/>
        <w:t xml:space="preserve">Anvendelse af delvis syge-/raskmelding i større omfang </w:t>
      </w:r>
      <w:r w:rsidRPr="00DA3E7A">
        <w:rPr>
          <w:rFonts w:ascii="Verdana" w:hAnsi="Verdana"/>
          <w:sz w:val="18"/>
          <w:szCs w:val="18"/>
        </w:rPr>
        <w:br/>
      </w:r>
    </w:p>
    <w:p w:rsidR="004716B7" w:rsidRPr="00DA3E7A" w:rsidRDefault="004716B7" w:rsidP="004716B7">
      <w:pPr>
        <w:numPr>
          <w:ilvl w:val="1"/>
          <w:numId w:val="1"/>
        </w:numPr>
        <w:tabs>
          <w:tab w:val="clear" w:pos="1636"/>
          <w:tab w:val="num" w:pos="700"/>
        </w:tabs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At give mere plads til medarbejdere med kroniske lidelser via anvendelse af såkaldte § 56-aftaler med kronisk syge medarbejdere</w:t>
      </w:r>
      <w:r w:rsidRPr="00DA3E7A">
        <w:rPr>
          <w:rFonts w:ascii="Verdana" w:hAnsi="Verdana"/>
          <w:sz w:val="18"/>
          <w:szCs w:val="18"/>
        </w:rPr>
        <w:br/>
      </w:r>
    </w:p>
    <w:p w:rsidR="004716B7" w:rsidRPr="00DA3E7A" w:rsidRDefault="004716B7" w:rsidP="004716B7">
      <w:pPr>
        <w:numPr>
          <w:ilvl w:val="1"/>
          <w:numId w:val="1"/>
        </w:numPr>
        <w:tabs>
          <w:tab w:val="clear" w:pos="1636"/>
          <w:tab w:val="num" w:pos="700"/>
        </w:tabs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At formalisere kontakt mellem sygemeldte og virksomhed i større omfang</w:t>
      </w:r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</w:p>
    <w:p w:rsidR="004716B7" w:rsidRPr="00DA3E7A" w:rsidRDefault="004716B7" w:rsidP="004716B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 xml:space="preserve">For at forebygge fremtidigt sygefravær drøftes mulige arbejdsmiljørelaterede årsager til sygefravær i forbindelse med arbejdspladsens arbejde med arbejdsmiljøet. Hvis der findes en arbejdsmiljøgruppe inddrages denne i drøftelserne. </w:t>
      </w:r>
    </w:p>
    <w:p w:rsidR="00985E02" w:rsidRDefault="00985E02">
      <w:bookmarkStart w:id="1" w:name="_GoBack"/>
      <w:bookmarkEnd w:id="1"/>
    </w:p>
    <w:sectPr w:rsidR="00985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70E94"/>
    <w:multiLevelType w:val="hybridMultilevel"/>
    <w:tmpl w:val="43846B32"/>
    <w:lvl w:ilvl="0" w:tplc="D3223528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7F86099E"/>
    <w:multiLevelType w:val="hybridMultilevel"/>
    <w:tmpl w:val="95B49D40"/>
    <w:lvl w:ilvl="0" w:tplc="1BFCF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A2A3046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2"/>
        <w:szCs w:val="22"/>
      </w:rPr>
    </w:lvl>
    <w:lvl w:ilvl="2" w:tplc="040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B7"/>
    <w:rsid w:val="004716B7"/>
    <w:rsid w:val="009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2C37-47A7-4795-95A9-C5212BD6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716B7"/>
    <w:pPr>
      <w:keepNext/>
      <w:spacing w:after="120"/>
      <w:outlineLvl w:val="0"/>
    </w:pPr>
    <w:rPr>
      <w:rFonts w:ascii="Arial Narrow" w:hAnsi="Arial Narrow"/>
      <w:b/>
      <w:kern w:val="2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716B7"/>
    <w:rPr>
      <w:rFonts w:ascii="Arial Narrow" w:eastAsia="Times New Roman" w:hAnsi="Arial Narrow" w:cs="Times New Roman"/>
      <w:b/>
      <w:kern w:val="28"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1</cp:revision>
  <dcterms:created xsi:type="dcterms:W3CDTF">2016-01-13T13:13:00Z</dcterms:created>
  <dcterms:modified xsi:type="dcterms:W3CDTF">2016-01-13T13:13:00Z</dcterms:modified>
</cp:coreProperties>
</file>